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widowControl w:val="0"/>
        <w:spacing w:line="1" w:lineRule="exact"/>
      </w:pPr>
      <w:r/>
    </w:p>
    <w:p>
      <w:pPr>
        <w:pStyle w:val="Style5"/>
        <w:keepNext w:val="0"/>
        <w:keepLines w:val="0"/>
        <w:framePr w:w="3965" w:h="250" w:hRule="exact" w:wrap="none" w:vAnchor="page" w:hAnchor="page" w:x="181" w:y="75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bookmarkStart w:id="0" w:name="bookmark0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С.В. ГЛУШКОВ</w:t>
      </w:r>
      <w:bookmarkEnd w:id="0"/>
    </w:p>
    <w:p>
      <w:pPr>
        <w:pStyle w:val="Style7"/>
        <w:keepNext w:val="0"/>
        <w:keepLines w:val="0"/>
        <w:framePr w:w="3965" w:h="4483" w:hRule="exact" w:wrap="none" w:vAnchor="page" w:hAnchor="page" w:x="181" w:y="1197"/>
        <w:widowControl w:val="0"/>
        <w:shd w:val="clear" w:color="auto" w:fill="auto"/>
        <w:bidi w:val="0"/>
        <w:spacing w:before="0"/>
        <w:ind w:left="0" w:right="0" w:firstLine="0"/>
        <w:jc w:val="center"/>
      </w:pPr>
      <w:bookmarkStart w:id="2" w:name="bookmark2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 ДИАЛЕКТНОЙ ПРИНАДЛЕЖНОСТИ КЁНГИНСКОГО</w:t>
        <w:br/>
        <w:t>ГОВОРА СЕЛЬКУПСКОГО ЯЗЫКА</w:t>
      </w:r>
      <w:bookmarkEnd w:id="2"/>
    </w:p>
    <w:p>
      <w:pPr>
        <w:pStyle w:val="Style9"/>
        <w:keepNext w:val="0"/>
        <w:keepLines w:val="0"/>
        <w:framePr w:w="3965" w:h="4483" w:hRule="exact" w:wrap="none" w:vAnchor="page" w:hAnchor="page" w:x="181" w:y="1197"/>
        <w:widowControl w:val="0"/>
        <w:shd w:val="clear" w:color="auto" w:fill="auto"/>
        <w:bidi w:val="0"/>
        <w:spacing w:before="0" w:after="0" w:line="262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Посёлок Кёнга, расположенный на берегу одноимённой реки - правого прито</w:t>
        <w:softHyphen/>
        <w:t>ка р. Парабели, по всей видимости - является местом давнего проживания сельку</w:t>
        <w:softHyphen/>
        <w:t>пов. Современные кёнгинские селькупы затрудняются определить приблизитель</w:t>
        <w:softHyphen/>
        <w:t>ное время обоснования своих предков на данной территории, считая её своим исконным ареалом обитания. Административно посёлок относится к Бакчарско- му району Томской области. Согласно данным департамента статистики район</w:t>
        <w:softHyphen/>
        <w:t>ной администрации, в 2001 г. в этом районе Томской области по паспортам числи</w:t>
        <w:softHyphen/>
        <w:t>лось 15 селькупов и 9 хантов. Вместе с детьми селькупами можно было считать 35 чел.</w:t>
      </w:r>
    </w:p>
    <w:p>
      <w:pPr>
        <w:pStyle w:val="Style9"/>
        <w:keepNext w:val="0"/>
        <w:keepLines w:val="0"/>
        <w:framePr w:w="3965" w:h="4483" w:hRule="exact" w:wrap="none" w:vAnchor="page" w:hAnchor="page" w:x="181" w:y="1197"/>
        <w:widowControl w:val="0"/>
        <w:shd w:val="clear" w:color="auto" w:fill="auto"/>
        <w:bidi w:val="0"/>
        <w:spacing w:before="0" w:after="0" w:line="262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Географически посёлок расположен в пределах или в непосредственной бли</w:t>
        <w:softHyphen/>
        <w:t>зости от территории распространения южных диалектов селькупского языка, поэтому можно было бы ожидать достаточно серьёзных материальных схожде</w:t>
        <w:softHyphen/>
        <w:t>ний кёнгинского говора и ближайших южных диалектов. В 40 км южнее п. Кён- ги протекает р. Парбиг (бассейн р. Чаи). Ближайшим соседом кёнгинского гово</w:t>
        <w:softHyphen/>
        <w:t>ра является, таким образом, чаинский диалект - один из южных диалектов сель</w:t>
        <w:softHyphen/>
        <w:t>купского языка. Нарымский диалект (ближайший из центральных) удалён от п. Кёнги более чем на 100 км. Можно было бы предполагать, что кёнгинский говор будет проявлять большее количество сходств с чаинским диалектом, чем с на- рымским. Однако это не так. Из языковых данных, собранных у кёнгинских сель</w:t>
        <w:softHyphen/>
        <w:t>купов нами совместно с Н.А. Тучковой, явствует, что эта локальная группа, не</w:t>
        <w:softHyphen/>
        <w:t>смотря на своё южное расположение, принадлежит к нарымскому диалекту, то есть к центральному ареалу.</w:t>
      </w:r>
    </w:p>
    <w:p>
      <w:pPr>
        <w:pStyle w:val="Style9"/>
        <w:keepNext w:val="0"/>
        <w:keepLines w:val="0"/>
        <w:framePr w:w="3965" w:h="4483" w:hRule="exact" w:wrap="none" w:vAnchor="page" w:hAnchor="page" w:x="181" w:y="1197"/>
        <w:widowControl w:val="0"/>
        <w:shd w:val="clear" w:color="auto" w:fill="auto"/>
        <w:bidi w:val="0"/>
        <w:spacing w:before="0" w:after="0" w:line="262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Можно перечислить, по крайней мере, шесть отличительных особенностей кёнгинского говора, которые сближают его с центральными диалектами и явля</w:t>
        <w:softHyphen/>
        <w:t>ются изоглоссами, различающими центральный и южный селькупский ареалы</w:t>
      </w:r>
      <w:r>
        <w:rPr>
          <w:color w:val="000000"/>
          <w:spacing w:val="0"/>
          <w:w w:val="100"/>
          <w:position w:val="0"/>
          <w:shd w:val="clear" w:color="auto" w:fill="auto"/>
          <w:vertAlign w:val="superscript"/>
          <w:lang w:val="ru-RU" w:eastAsia="ru-RU" w:bidi="ru-RU"/>
        </w:rPr>
        <w:t>1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:</w:t>
      </w:r>
    </w:p>
    <w:p>
      <w:pPr>
        <w:pStyle w:val="Style9"/>
        <w:keepNext w:val="0"/>
        <w:keepLines w:val="0"/>
        <w:framePr w:w="3965" w:h="4483" w:hRule="exact" w:wrap="none" w:vAnchor="page" w:hAnchor="page" w:x="181" w:y="1197"/>
        <w:widowControl w:val="0"/>
        <w:numPr>
          <w:ilvl w:val="0"/>
          <w:numId w:val="1"/>
        </w:numPr>
        <w:shd w:val="clear" w:color="auto" w:fill="auto"/>
        <w:tabs>
          <w:tab w:pos="366" w:val="left"/>
        </w:tabs>
        <w:bidi w:val="0"/>
        <w:spacing w:before="0" w:after="0" w:line="262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центр,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t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’(с')/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юж.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(Кён.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č'ünd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«лошадь, конь»,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č’ö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«пояс», нар.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č'ünd, č’ö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 чаин.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küddilkünt,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кй,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шёшк.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künd,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кет.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kündi,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кй)\</w:t>
      </w:r>
    </w:p>
    <w:p>
      <w:pPr>
        <w:pStyle w:val="Style9"/>
        <w:keepNext w:val="0"/>
        <w:keepLines w:val="0"/>
        <w:framePr w:w="3965" w:h="4483" w:hRule="exact" w:wrap="none" w:vAnchor="page" w:hAnchor="page" w:x="181" w:y="1197"/>
        <w:widowControl w:val="0"/>
        <w:numPr>
          <w:ilvl w:val="0"/>
          <w:numId w:val="1"/>
        </w:numPr>
        <w:shd w:val="clear" w:color="auto" w:fill="auto"/>
        <w:tabs>
          <w:tab w:pos="356" w:val="left"/>
        </w:tabs>
        <w:bidi w:val="0"/>
        <w:spacing w:before="0" w:after="0" w:line="262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центр,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qq (q)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 юж.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ŋq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(Кён.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poq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«сеть»,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pēq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«лось», нар.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poq, pēqlpeqq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кет.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poŋqi, päŋqi)\</w:t>
      </w:r>
    </w:p>
    <w:p>
      <w:pPr>
        <w:pStyle w:val="Style9"/>
        <w:keepNext w:val="0"/>
        <w:keepLines w:val="0"/>
        <w:framePr w:w="3965" w:h="4483" w:hRule="exact" w:wrap="none" w:vAnchor="page" w:hAnchor="page" w:x="181" w:y="1197"/>
        <w:widowControl w:val="0"/>
        <w:numPr>
          <w:ilvl w:val="0"/>
          <w:numId w:val="1"/>
        </w:numPr>
        <w:shd w:val="clear" w:color="auto" w:fill="auto"/>
        <w:tabs>
          <w:tab w:pos="361" w:val="left"/>
        </w:tabs>
        <w:bidi w:val="0"/>
        <w:spacing w:before="0" w:after="0" w:line="262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центр.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1(Г)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/ юж. / (Кён.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tīl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?ир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«татарин»,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tēbil bō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«гнилое дерево»,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hol’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«горло, шея», нар.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tīl qup, tēbil bō, öl'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 кет.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tīj qup, tēbij, sōj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шёшк. 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sō/);</w:t>
      </w:r>
    </w:p>
    <w:p>
      <w:pPr>
        <w:pStyle w:val="Style12"/>
        <w:keepNext w:val="0"/>
        <w:keepLines w:val="0"/>
        <w:framePr w:wrap="none" w:vAnchor="page" w:hAnchor="page" w:x="3920" w:y="579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139</w:t>
      </w: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4310" w:h="6187"/>
          <w:pgMar w:top="360" w:right="360" w:bottom="360" w:left="36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/>
    </w:p>
    <w:p>
      <w:pPr>
        <w:pStyle w:val="Style9"/>
        <w:keepNext w:val="0"/>
        <w:keepLines w:val="0"/>
        <w:framePr w:w="3965" w:h="5366" w:hRule="exact" w:wrap="none" w:vAnchor="page" w:hAnchor="page" w:x="181" w:y="294"/>
        <w:widowControl w:val="0"/>
        <w:numPr>
          <w:ilvl w:val="0"/>
          <w:numId w:val="1"/>
        </w:numPr>
        <w:shd w:val="clear" w:color="auto" w:fill="auto"/>
        <w:tabs>
          <w:tab w:pos="366" w:val="left"/>
        </w:tabs>
        <w:bidi w:val="0"/>
        <w:spacing w:before="0" w:after="0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центр. 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VV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(долгий гласный) / крайне юж., включая чаинский, чулымский и вехнеобской, 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V</w:t>
      </w:r>
      <w:r>
        <w:rPr>
          <w:color w:val="000000"/>
          <w:spacing w:val="0"/>
          <w:w w:val="100"/>
          <w:position w:val="0"/>
          <w:shd w:val="clear" w:color="auto" w:fill="auto"/>
          <w:vertAlign w:val="subscript"/>
          <w:lang w:val="de-DE" w:eastAsia="de-DE" w:bidi="de-DE"/>
        </w:rPr>
        <w:t>(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V</w:t>
      </w:r>
      <w:r>
        <w:rPr>
          <w:color w:val="000000"/>
          <w:spacing w:val="0"/>
          <w:w w:val="100"/>
          <w:position w:val="0"/>
          <w:shd w:val="clear" w:color="auto" w:fill="auto"/>
          <w:vertAlign w:val="subscript"/>
          <w:lang w:val="de-DE" w:eastAsia="de-DE" w:bidi="de-DE"/>
        </w:rPr>
        <w:t>2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(дифтонг) (Кён.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māt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«дом»,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āmbigu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«зевать»,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āmdigu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«си</w:t>
        <w:softHyphen/>
        <w:t xml:space="preserve">деть», нар.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māt, ām(b)igu, āmdigu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 чаин. 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(Castrén)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muat,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чул. 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(Castrén)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oaniaŋ, 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BO (Castrén)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ēamdaŋ)-,</w:t>
      </w:r>
    </w:p>
    <w:p>
      <w:pPr>
        <w:pStyle w:val="Style9"/>
        <w:keepNext w:val="0"/>
        <w:keepLines w:val="0"/>
        <w:framePr w:w="3965" w:h="5366" w:hRule="exact" w:wrap="none" w:vAnchor="page" w:hAnchor="page" w:x="181" w:y="294"/>
        <w:widowControl w:val="0"/>
        <w:numPr>
          <w:ilvl w:val="0"/>
          <w:numId w:val="1"/>
        </w:numPr>
        <w:shd w:val="clear" w:color="auto" w:fill="auto"/>
        <w:tabs>
          <w:tab w:pos="366" w:val="left"/>
        </w:tabs>
        <w:bidi w:val="0"/>
        <w:spacing w:before="0" w:after="0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центр.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š'(š)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 юж. преимущественно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s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(Кён.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š'edija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«два»,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š'ü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«змея»,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š’ē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«язык», нар.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šedja! šidja, šü, šē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/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чаин.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sē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«язык», шёшк.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sē/ š’ē,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кет.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šitti, sü, sē)\</w:t>
      </w:r>
    </w:p>
    <w:p>
      <w:pPr>
        <w:pStyle w:val="Style9"/>
        <w:keepNext w:val="0"/>
        <w:keepLines w:val="0"/>
        <w:framePr w:w="3965" w:h="5366" w:hRule="exact" w:wrap="none" w:vAnchor="page" w:hAnchor="page" w:x="181" w:y="294"/>
        <w:widowControl w:val="0"/>
        <w:numPr>
          <w:ilvl w:val="0"/>
          <w:numId w:val="1"/>
        </w:numPr>
        <w:shd w:val="clear" w:color="auto" w:fill="auto"/>
        <w:tabs>
          <w:tab w:pos="370" w:val="left"/>
        </w:tabs>
        <w:bidi w:val="0"/>
        <w:spacing w:before="0" w:after="0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окончание 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1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л. ед. 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ч.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наст. вр. глаголов центр,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-р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/юж.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-и, -т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(Кён.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те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špap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«(я) делал», нар.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та$‘ар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/ чаин. 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(Castrén)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miegam,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шёшк. 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(Castrén)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miegaut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та$ ’ар).</w:t>
      </w:r>
    </w:p>
    <w:p>
      <w:pPr>
        <w:pStyle w:val="Style9"/>
        <w:keepNext w:val="0"/>
        <w:keepLines w:val="0"/>
        <w:framePr w:w="3965" w:h="5366" w:hRule="exact" w:wrap="none" w:vAnchor="page" w:hAnchor="page" w:x="181" w:y="294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Самоназвание кёнгинских селькупов -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č' omiT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?ир -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практически идентично самоназванию нарымских и тымских селькупов -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č'umil’ qup.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Появление гор</w:t>
        <w:softHyphen/>
        <w:t xml:space="preserve">танного смычного ? на месте увулярного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q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 позиции начала слова характерно и для других случаев, ср.: Кён.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?āyil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«сани» и нар.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qail/qāyil.</w:t>
      </w:r>
    </w:p>
    <w:p>
      <w:pPr>
        <w:pStyle w:val="Style9"/>
        <w:keepNext w:val="0"/>
        <w:keepLines w:val="0"/>
        <w:framePr w:w="3965" w:h="5366" w:hRule="exact" w:wrap="none" w:vAnchor="page" w:hAnchor="page" w:x="181" w:y="294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Таким образом, по целому ряду признаков кёнгинский говор селькупов отно</w:t>
        <w:softHyphen/>
        <w:t xml:space="preserve">сится к центральным диалектам, а по соответствию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h 1s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в инициальной позиции более точно определяется как один из говоров нарымского диалекта, ср.: Кён.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hēl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'$ ’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«семь», нар.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hēl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' и тым.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sēl</w:t>
      </w:r>
    </w:p>
    <w:p>
      <w:pPr>
        <w:pStyle w:val="Style9"/>
        <w:keepNext w:val="0"/>
        <w:keepLines w:val="0"/>
        <w:framePr w:w="3965" w:h="5366" w:hRule="exact" w:wrap="none" w:vAnchor="page" w:hAnchor="page" w:x="181" w:y="294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Рассматривая данный вывод применительно к взаимному расположению ди</w:t>
        <w:softHyphen/>
        <w:t>алектов, можно предположить, что территориальная близость не является обя</w:t>
        <w:softHyphen/>
        <w:t>зательным условием сохранения языкового континуума, более вероятно, что та</w:t>
        <w:softHyphen/>
        <w:t>ким условием является ландшафтная близость, в случае с селькупами Томской области - наличие общего водного пути. Действительно, очертания селькупских диалектных ареалов на территории Томской области в основном привязаны к бассейнам рек: диалектные различия внутри одного бассейна, как правило, ме</w:t>
        <w:softHyphen/>
        <w:t>нее значимы, чем между бассейнами различных рек. Другими словами, сход</w:t>
        <w:softHyphen/>
        <w:t>ства диалектов пропорциональны их ландшафтной близости, и одна река, как правило, означает ареал распространения одного диалекта. Наличие общего водного пути между п. Кёнгой и нарымско-парабельским регионом обусловли</w:t>
        <w:softHyphen/>
        <w:t>вает принадлежность кёнгинского говора к нарымскому диалекту, отсутствие же общего водного пути с селькупами р. Чаи приводит к гораздо менее значимо</w:t>
        <w:softHyphen/>
        <w:t>му влянию чаинского диалекта на данный говор.</w:t>
      </w:r>
    </w:p>
    <w:p>
      <w:pPr>
        <w:pStyle w:val="Style9"/>
        <w:keepNext w:val="0"/>
        <w:keepLines w:val="0"/>
        <w:framePr w:w="3965" w:h="5366" w:hRule="exact" w:wrap="none" w:vAnchor="page" w:hAnchor="page" w:x="181" w:y="294"/>
        <w:widowControl w:val="0"/>
        <w:shd w:val="clear" w:color="auto" w:fill="auto"/>
        <w:bidi w:val="0"/>
        <w:spacing w:before="0" w:after="0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 этом можно было бы закончить анализ диалектной принадлежности кён</w:t>
        <w:softHyphen/>
        <w:t>гинского говора, если бы не неточности, допускаемые некоторыми исследовате</w:t>
        <w:softHyphen/>
        <w:t>лями при наименовании данной локальной группы. Так, Ю.И. Ожередов в своих работах неверно относит кёнгинских селькупов к «локально-диалектной груп</w:t>
        <w:softHyphen/>
        <w:t>пе... шиешгула»</w:t>
      </w:r>
      <w:r>
        <w:rPr>
          <w:color w:val="000000"/>
          <w:spacing w:val="0"/>
          <w:w w:val="100"/>
          <w:position w:val="0"/>
          <w:shd w:val="clear" w:color="auto" w:fill="auto"/>
          <w:vertAlign w:val="superscript"/>
          <w:lang w:val="ru-RU" w:eastAsia="ru-RU" w:bidi="ru-RU"/>
        </w:rPr>
        <w:t>2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, то есть к шёшкупам, тогда как, по данным языкового анализа, они являются чумылькупами. Необходимо обратить внимание и на то, что в ра</w:t>
        <w:softHyphen/>
        <w:t>ботах того же автора присутствует большое количество лингвистических оши</w:t>
        <w:softHyphen/>
        <w:t>бок, иногда носящих комический характер. Так, в другой своей работе по шёш-</w:t>
      </w:r>
    </w:p>
    <w:p>
      <w:pPr>
        <w:pStyle w:val="Style12"/>
        <w:keepNext w:val="0"/>
        <w:keepLines w:val="0"/>
        <w:framePr w:wrap="none" w:vAnchor="page" w:hAnchor="page" w:x="171" w:y="579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140</w:t>
      </w: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4310" w:h="6187"/>
          <w:pgMar w:top="360" w:right="360" w:bottom="360" w:left="36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/>
    </w:p>
    <w:p>
      <w:pPr>
        <w:pStyle w:val="Style9"/>
        <w:keepNext w:val="0"/>
        <w:keepLines w:val="0"/>
        <w:framePr w:w="3950" w:h="4282" w:hRule="exact" w:wrap="none" w:vAnchor="page" w:hAnchor="page" w:x="188" w:y="304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купам Ю.И. Ожередов пишет: «Не исключено, что с Нижним миром мёртвых предков связано селькупское божество Кандальдук. Об этом можно судить уже из этимологии слова, означающего Корневой старик»</w:t>
      </w:r>
      <w:r>
        <w:rPr>
          <w:color w:val="000000"/>
          <w:spacing w:val="0"/>
          <w:w w:val="100"/>
          <w:position w:val="0"/>
          <w:shd w:val="clear" w:color="auto" w:fill="auto"/>
          <w:vertAlign w:val="superscript"/>
          <w:lang w:val="ru-RU" w:eastAsia="ru-RU" w:bidi="ru-RU"/>
        </w:rPr>
        <w:t>3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 В селькупских диалек</w:t>
        <w:softHyphen/>
        <w:t>тах, действительно, можно найти различные варианты произношения мифоло</w:t>
        <w:softHyphen/>
        <w:t xml:space="preserve">гической лексемы «Корневой старик», вот некоторые из них -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kontij ira /kon^il ira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kon-f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[Г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ira /kon^il' ara /kontij irre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(то есть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контый ира/конджил ира / конджиль ира / конджиль ара / конджий ирре),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но форма Кандальдук, приве</w:t>
        <w:softHyphen/>
        <w:t xml:space="preserve">денная автором, это, скорее всего, -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kontil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’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tuk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«Корневой жук», а не «Корневой старик»!</w:t>
      </w:r>
    </w:p>
    <w:p>
      <w:pPr>
        <w:pStyle w:val="Style9"/>
        <w:keepNext w:val="0"/>
        <w:keepLines w:val="0"/>
        <w:framePr w:w="3950" w:h="4282" w:hRule="exact" w:wrap="none" w:vAnchor="page" w:hAnchor="page" w:x="188" w:y="304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Необходимо отметить, что в языковом аспекте чаинский, среднеобской и нарым- ский диалекты являются вполне самостоятельными подразделениями языка сель</w:t>
        <w:softHyphen/>
        <w:t>купов. Самоназванием носителей данных диалектных групп являются сюссыкой- кум, шёшкуп/шёшкум и чумылькуп соответственно. Как уже отмечалось, самоназ</w:t>
        <w:softHyphen/>
        <w:t>вание кёнгинских селькупов практически тождественно самоназванию чумыльку- пов.</w:t>
      </w:r>
    </w:p>
    <w:p>
      <w:pPr>
        <w:pStyle w:val="Style9"/>
        <w:keepNext w:val="0"/>
        <w:keepLines w:val="0"/>
        <w:framePr w:w="3950" w:h="4282" w:hRule="exact" w:wrap="none" w:vAnchor="page" w:hAnchor="page" w:x="188" w:y="304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Чаинский и среднеобской диалекты отличаются от нарымского употреблени</w:t>
        <w:softHyphen/>
        <w:t>ем соответственно к- или ть-, ч - (изоглосса 1). Данная изоглосса позволяет отнести среднеобской диалект шёшкупов к южному ареалу. Чаинский, как один из крайне южных диалектов, отличается от нарымского диалекта чумылькупов и от среднеобского диалекта шёшкупов дифтонгизацией гласных (изоглосса 4). Также в чаинском диалекте (кроме нижнечаинского говора) на месте нт- нарым</w:t>
        <w:softHyphen/>
        <w:t>ского диалекта чумылькупов и среднеобского диалекта шёшкупов употребляет</w:t>
        <w:softHyphen/>
        <w:t xml:space="preserve">ся дд- , ср.: чаин.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küddi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«лошадь, конь»,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addu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«лодка», но: шёшк.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künd, and,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нар.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č’ünd, and.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Данный признак отличает чаинский от среднеобского и нарымс</w:t>
        <w:softHyphen/>
        <w:t>кого диалектов. Нарымский диалект отличается от шёшкупского употреблени</w:t>
        <w:softHyphen/>
        <w:t xml:space="preserve">ем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1(Г)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на месте / (изоглосса 3), а от чаинского - употреблением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-р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вместо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-т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в окончании глаголов (изоглосса 6).</w:t>
      </w:r>
    </w:p>
    <w:p>
      <w:pPr>
        <w:pStyle w:val="Style9"/>
        <w:keepNext w:val="0"/>
        <w:keepLines w:val="0"/>
        <w:framePr w:w="3950" w:h="4282" w:hRule="exact" w:wrap="none" w:vAnchor="page" w:hAnchor="page" w:x="188" w:y="304"/>
        <w:widowControl w:val="0"/>
        <w:shd w:val="clear" w:color="auto" w:fill="auto"/>
        <w:bidi w:val="0"/>
        <w:spacing w:before="0" w:after="12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Таким образом, многочисленные языковые факты свидетельствуют, что кён- гинский говор принадлежит нарымскому диалекту чумылькупов, и его носите</w:t>
        <w:softHyphen/>
        <w:t>ли никак не могут отождествляться с шёшкупами.</w:t>
      </w:r>
    </w:p>
    <w:p>
      <w:pPr>
        <w:pStyle w:val="Style9"/>
        <w:keepNext w:val="0"/>
        <w:keepLines w:val="0"/>
        <w:framePr w:w="3950" w:h="4282" w:hRule="exact" w:wrap="none" w:vAnchor="page" w:hAnchor="page" w:x="188" w:y="304"/>
        <w:widowControl w:val="0"/>
        <w:shd w:val="clear" w:color="auto" w:fill="auto"/>
        <w:bidi w:val="0"/>
        <w:spacing w:before="0" w:after="0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Список сокращений:</w:t>
      </w:r>
    </w:p>
    <w:p>
      <w:pPr>
        <w:pStyle w:val="Style9"/>
        <w:keepNext w:val="0"/>
        <w:keepLines w:val="0"/>
        <w:framePr w:w="3950" w:h="960" w:hRule="exact" w:wrap="none" w:vAnchor="page" w:hAnchor="page" w:x="188" w:y="4686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ВО - верхнеобской говор кет. - кетский диалект Кён. - кёнгинский говор нар. - нарымский диалект тым. - тымский диалект центр. - центральные диалекты чаин. - чаинский диалект</w:t>
      </w:r>
    </w:p>
    <w:p>
      <w:pPr>
        <w:pStyle w:val="Style12"/>
        <w:keepNext w:val="0"/>
        <w:keepLines w:val="0"/>
        <w:framePr w:wrap="none" w:vAnchor="page" w:hAnchor="page" w:x="3913" w:y="580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141</w:t>
      </w: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4310" w:h="6187"/>
          <w:pgMar w:top="360" w:right="360" w:bottom="360" w:left="36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/>
    </w:p>
    <w:p>
      <w:pPr>
        <w:pStyle w:val="Style9"/>
        <w:keepNext w:val="0"/>
        <w:keepLines w:val="0"/>
        <w:framePr w:w="3960" w:h="696" w:hRule="exact" w:wrap="none" w:vAnchor="page" w:hAnchor="page" w:x="183" w:y="119"/>
        <w:widowControl w:val="0"/>
        <w:shd w:val="clear" w:color="auto" w:fill="auto"/>
        <w:bidi w:val="0"/>
        <w:spacing w:before="0" w:after="0" w:line="286" w:lineRule="auto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чул. - чулымский диалект</w:t>
      </w:r>
    </w:p>
    <w:p>
      <w:pPr>
        <w:pStyle w:val="Style9"/>
        <w:keepNext w:val="0"/>
        <w:keepLines w:val="0"/>
        <w:framePr w:w="3960" w:h="696" w:hRule="exact" w:wrap="none" w:vAnchor="page" w:hAnchor="page" w:x="183" w:y="119"/>
        <w:widowControl w:val="0"/>
        <w:shd w:val="clear" w:color="auto" w:fill="auto"/>
        <w:bidi w:val="0"/>
        <w:spacing w:before="0" w:after="0" w:line="286" w:lineRule="auto"/>
        <w:ind w:left="140" w:right="0" w:firstLine="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шёшк. - шёшкупский диалект юж. - южные диалекты</w:t>
      </w:r>
    </w:p>
    <w:p>
      <w:pPr>
        <w:pStyle w:val="Style9"/>
        <w:keepNext w:val="0"/>
        <w:keepLines w:val="0"/>
        <w:framePr w:w="3960" w:h="696" w:hRule="exact" w:wrap="none" w:vAnchor="page" w:hAnchor="page" w:x="183" w:y="119"/>
        <w:widowControl w:val="0"/>
        <w:shd w:val="clear" w:color="auto" w:fill="auto"/>
        <w:bidi w:val="0"/>
        <w:spacing w:before="0" w:after="0" w:line="286" w:lineRule="auto"/>
        <w:ind w:left="140" w:right="0" w:firstLine="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Castrén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- 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Castrén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М.А. 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Wörterverzeichnisse aus den Samojedischen Sprachen. St. Petersburg, 1855.</w:t>
      </w:r>
    </w:p>
    <w:p>
      <w:pPr>
        <w:pStyle w:val="Style14"/>
        <w:keepNext w:val="0"/>
        <w:keepLines w:val="0"/>
        <w:framePr w:w="3960" w:h="1944" w:hRule="exact" w:wrap="none" w:vAnchor="page" w:hAnchor="page" w:x="183" w:y="3580"/>
        <w:widowControl w:val="0"/>
        <w:numPr>
          <w:ilvl w:val="0"/>
          <w:numId w:val="3"/>
        </w:numPr>
        <w:shd w:val="clear" w:color="auto" w:fill="auto"/>
        <w:tabs>
          <w:tab w:pos="303" w:val="left"/>
        </w:tabs>
        <w:bidi w:val="0"/>
        <w:spacing w:before="0" w:after="0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 подготовке статьи использованы следующие публикации: Морев Ю.А. Звуко</w:t>
        <w:softHyphen/>
        <w:t xml:space="preserve">вой строй среднеобского (ласкинского) говора селькупского языка: Дис. ... канд. филол. наук.Томск. 1973; Хелимский Е.А. К исторической диалектологии селькупского языка / / Компаративистика, уралистика: Лекции и статьи. М., 2000. С. 68-79; 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Castrén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М.А. 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Wörterverzeichnisse aus den samojedischen Sprachen. St. Petersburg, 1855; Donner K. Zur Vertretung der Konsonantenverbindung Nasal + homorganer Klusil im Tschaja-Dialekt des Ostjak-Samojedischen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MSFOu LI 1. Helsinki, 1924. S. 36-41; Dulson A. Über die räumliche Gliederung des Sölkupischen in ihrem Verhältnis zu den alten Volkstumsgruppen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// СФУ 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7. M., 1971. S. 35-43;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>Helimski E.</w:t>
      </w:r>
      <w:r>
        <w:rPr>
          <w:color w:val="000000"/>
          <w:spacing w:val="0"/>
          <w:w w:val="100"/>
          <w:position w:val="0"/>
          <w:shd w:val="clear" w:color="auto" w:fill="auto"/>
          <w:lang w:val="de-DE" w:eastAsia="de-DE" w:bidi="de-DE"/>
        </w:rPr>
        <w:t xml:space="preserve"> The Language of the First Selkup Books. Szeged, 1983.</w:t>
      </w:r>
    </w:p>
    <w:p>
      <w:pPr>
        <w:pStyle w:val="Style14"/>
        <w:keepNext w:val="0"/>
        <w:keepLines w:val="0"/>
        <w:framePr w:w="3960" w:h="1944" w:hRule="exact" w:wrap="none" w:vAnchor="page" w:hAnchor="page" w:x="183" w:y="3580"/>
        <w:widowControl w:val="0"/>
        <w:numPr>
          <w:ilvl w:val="0"/>
          <w:numId w:val="3"/>
        </w:numPr>
        <w:shd w:val="clear" w:color="auto" w:fill="auto"/>
        <w:tabs>
          <w:tab w:pos="327" w:val="left"/>
        </w:tabs>
        <w:bidi w:val="0"/>
        <w:spacing w:before="0" w:after="0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Ожередов Ю.И. Столб в погребальном обряде шиешгула// Самодийцы. Мат-лы IV Сибирского симпозиума «Культурное наследие народов Западной Сибири (10-12 де</w:t>
        <w:softHyphen/>
        <w:t>кабря 2001 г., Тобольск). Тобольск; Омск, 2001. С. 224.</w:t>
      </w:r>
    </w:p>
    <w:p>
      <w:pPr>
        <w:pStyle w:val="Style14"/>
        <w:keepNext w:val="0"/>
        <w:keepLines w:val="0"/>
        <w:framePr w:w="3960" w:h="1944" w:hRule="exact" w:wrap="none" w:vAnchor="page" w:hAnchor="page" w:x="183" w:y="3580"/>
        <w:widowControl w:val="0"/>
        <w:numPr>
          <w:ilvl w:val="0"/>
          <w:numId w:val="3"/>
        </w:numPr>
        <w:shd w:val="clear" w:color="auto" w:fill="auto"/>
        <w:tabs>
          <w:tab w:pos="327" w:val="left"/>
        </w:tabs>
        <w:bidi w:val="0"/>
        <w:spacing w:before="0" w:after="0"/>
        <w:ind w:left="0" w:right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Ожередов Ю.И. К вопросу о Западносибирской монументальной культовой скульпту</w:t>
        <w:softHyphen/>
        <w:t xml:space="preserve">ре из дерева </w:t>
      </w:r>
      <w:r>
        <w:rPr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Проблемы документации исчезающих языков и культур: Материалы Между</w:t>
        <w:softHyphen/>
        <w:t>народной конференции «21-е Дульзоновские чтения». Уфа; Томск, 1999. Ч. I. С. 246.</w:t>
      </w:r>
    </w:p>
    <w:p>
      <w:pPr>
        <w:pStyle w:val="Style12"/>
        <w:keepNext w:val="0"/>
        <w:keepLines w:val="0"/>
        <w:framePr w:wrap="none" w:vAnchor="page" w:hAnchor="page" w:x="174" w:y="5606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142</w:t>
      </w:r>
    </w:p>
    <w:p>
      <w:pPr>
        <w:widowControl w:val="0"/>
        <w:spacing w:line="1" w:lineRule="exact"/>
      </w:pPr>
    </w:p>
    <w:sectPr>
      <w:footnotePr>
        <w:pos w:val="pageBottom"/>
        <w:numFmt w:val="decimal"/>
        <w:numRestart w:val="continuous"/>
      </w:footnotePr>
      <w:pgSz w:w="4310" w:h="6187"/>
      <w:pgMar w:top="360" w:right="360" w:bottom="360" w:left="360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)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  <w:shd w:val="clear" w:color="auto" w:fill="auto"/>
        <w:lang w:val="de-DE" w:eastAsia="de-DE" w:bidi="de-DE"/>
      </w:rPr>
    </w:lvl>
  </w:abstractNum>
  <w:abstractNum w:abstractNumId="2">
    <w:multiLevelType w:val="multilevel"/>
    <w:lvl w:ilvl="0">
      <w:start w:val="1"/>
      <w:numFmt w:val="decimal"/>
      <w:lvlText w:val="%1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  <w:shd w:val="clear" w:color="auto" w:fill="auto"/>
        <w:vertAlign w:val="superscript"/>
        <w:lang w:val="ru-RU" w:eastAsia="ru-RU" w:bidi="ru-RU"/>
      </w:rPr>
    </w:lvl>
  </w:abstractNum>
  <w:num w:numId="1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Колонтитул (2)_"/>
    <w:basedOn w:val="DefaultParagraphFont"/>
    <w:link w:val="Styl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de-DE" w:eastAsia="de-DE" w:bidi="de-DE"/>
    </w:rPr>
  </w:style>
  <w:style w:type="character" w:customStyle="1" w:styleId="CharStyle6">
    <w:name w:val="Заголовок №1_"/>
    <w:basedOn w:val="DefaultParagraphFont"/>
    <w:link w:val="Styl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CharStyle8">
    <w:name w:val="Заголовок №2_"/>
    <w:basedOn w:val="DefaultParagraphFont"/>
    <w:link w:val="Styl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character" w:customStyle="1" w:styleId="CharStyle10">
    <w:name w:val="Основной текст_"/>
    <w:basedOn w:val="DefaultParagraphFont"/>
    <w:link w:val="Styl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CharStyle13">
    <w:name w:val="Колонтитул_"/>
    <w:basedOn w:val="DefaultParagraphFont"/>
    <w:link w:val="Style12"/>
    <w:rPr>
      <w:rFonts w:ascii="Arial" w:eastAsia="Arial" w:hAnsi="Arial" w:cs="Arial"/>
      <w:b/>
      <w:bCs/>
      <w:i w:val="0"/>
      <w:iCs w:val="0"/>
      <w:smallCaps w:val="0"/>
      <w:strike w:val="0"/>
      <w:sz w:val="8"/>
      <w:szCs w:val="8"/>
      <w:u w:val="none"/>
    </w:rPr>
  </w:style>
  <w:style w:type="character" w:customStyle="1" w:styleId="CharStyle15">
    <w:name w:val="Основной текст (2)_"/>
    <w:basedOn w:val="DefaultParagraphFont"/>
    <w:link w:val="Style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paragraph" w:customStyle="1" w:styleId="Style2">
    <w:name w:val="Колонтитул (2)"/>
    <w:basedOn w:val="Normal"/>
    <w:link w:val="CharStyle3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de-DE" w:eastAsia="de-DE" w:bidi="de-DE"/>
    </w:rPr>
  </w:style>
  <w:style w:type="paragraph" w:customStyle="1" w:styleId="Style5">
    <w:name w:val="Заголовок №1"/>
    <w:basedOn w:val="Normal"/>
    <w:link w:val="CharStyle6"/>
    <w:pPr>
      <w:widowControl w:val="0"/>
      <w:shd w:val="clear" w:color="auto" w:fill="auto"/>
      <w:spacing w:before="620" w:after="240"/>
      <w:jc w:val="center"/>
      <w:outlineLvl w:val="0"/>
    </w:pPr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Style7">
    <w:name w:val="Заголовок №2"/>
    <w:basedOn w:val="Normal"/>
    <w:link w:val="CharStyle8"/>
    <w:pPr>
      <w:widowControl w:val="0"/>
      <w:shd w:val="clear" w:color="auto" w:fill="auto"/>
      <w:spacing w:after="160" w:line="293" w:lineRule="auto"/>
      <w:jc w:val="center"/>
      <w:outlineLvl w:val="1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2"/>
      <w:szCs w:val="12"/>
      <w:u w:val="none"/>
    </w:rPr>
  </w:style>
  <w:style w:type="paragraph" w:customStyle="1" w:styleId="Style9">
    <w:name w:val="Основной текст"/>
    <w:basedOn w:val="Normal"/>
    <w:link w:val="CharStyle10"/>
    <w:pPr>
      <w:widowControl w:val="0"/>
      <w:shd w:val="clear" w:color="auto" w:fill="auto"/>
      <w:spacing w:line="276" w:lineRule="auto"/>
      <w:ind w:firstLine="14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paragraph" w:customStyle="1" w:styleId="Style12">
    <w:name w:val="Колонтитул"/>
    <w:basedOn w:val="Normal"/>
    <w:link w:val="CharStyle13"/>
    <w:pPr>
      <w:widowControl w:val="0"/>
      <w:shd w:val="clear" w:color="auto" w:fill="auto"/>
    </w:pPr>
    <w:rPr>
      <w:rFonts w:ascii="Arial" w:eastAsia="Arial" w:hAnsi="Arial" w:cs="Arial"/>
      <w:b/>
      <w:bCs/>
      <w:i w:val="0"/>
      <w:iCs w:val="0"/>
      <w:smallCaps w:val="0"/>
      <w:strike w:val="0"/>
      <w:sz w:val="8"/>
      <w:szCs w:val="8"/>
      <w:u w:val="none"/>
    </w:rPr>
  </w:style>
  <w:style w:type="paragraph" w:customStyle="1" w:styleId="Style14">
    <w:name w:val="Основной текст (2)"/>
    <w:basedOn w:val="Normal"/>
    <w:link w:val="CharStyle15"/>
    <w:pPr>
      <w:widowControl w:val="0"/>
      <w:shd w:val="clear" w:color="auto" w:fill="auto"/>
      <w:spacing w:line="295" w:lineRule="auto"/>
      <w:ind w:firstLine="16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